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§482. Minimum contents of land installment contracts;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Minimum contents of land installment contracts;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§482. MINIMUM CONTENTS OF LAND INSTALLMENT CONTRACTS;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