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Undocumented mortgage agreements</w:t>
      </w:r>
    </w:p>
    <w:p>
      <w:pPr>
        <w:jc w:val="both"/>
        <w:spacing w:before="100" w:after="100"/>
        <w:ind w:start="360"/>
        <w:ind w:firstLine="360"/>
      </w:pPr>
      <w:r>
        <w:rPr/>
      </w:r>
      <w:r>
        <w:rPr/>
      </w:r>
      <w:r>
        <w:t xml:space="preserve">In a residential mortgage loan closing, a buyer, seller or settlement agent may not knowingly be a party to a financial or other arrangement not reflected in the loan settlement statement if the effect of that arrangement is to substantially overstate the contract sales price.  Any violation of this 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161, §1 (NEW).]</w:t>
      </w:r>
    </w:p>
    <w:p>
      <w:pPr>
        <w:jc w:val="both"/>
        <w:spacing w:before="100" w:after="100"/>
        <w:ind w:start="360"/>
      </w:pPr>
      <w:r>
        <w:rPr>
          <w:b w:val="true"/>
          <w:i/>
          <w:caps w:val="true"/>
        </w:rPr>
        <w:t xml:space="preserve">Revisor's Note: </w:t>
      </w:r>
      <w:r>
        <w:t>§506.  Disclosure regarding private mortgage insurance (As enacted by PL 2005, c. 211, §1 is REALLOCATED TO TITLE 33, SECTION 507)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2005, c. 161, §1 (NEW). PL 2005, c. 211,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Undocumented mortgage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Undocumented mortgage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§506. UNDOCUMENTED MORTGAGE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