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w:t>
        <w:t xml:space="preserve">.  </w:t>
      </w:r>
      <w:r>
        <w:rPr>
          <w:b/>
        </w:rPr>
        <w:t xml:space="preserve">Penalty</w:t>
      </w:r>
    </w:p>
    <w:p>
      <w:pPr>
        <w:jc w:val="both"/>
        <w:spacing w:before="100" w:after="0"/>
        <w:ind w:start="360"/>
        <w:ind w:firstLine="360"/>
      </w:pPr>
      <w:r>
        <w:rPr>
          <w:b/>
        </w:rPr>
        <w:t>1</w:t>
        <w:t xml:space="preserve">.  </w:t>
      </w:r>
      <w:r>
        <w:rPr>
          <w:b/>
        </w:rPr>
        <w:t xml:space="preserve">Consumer remedies.</w:t>
        <w:t xml:space="preserve"> </w:t>
      </w:r>
      <w:r>
        <w:t xml:space="preserve"> </w:t>
      </w:r>
      <w:r>
        <w:t xml:space="preserve">A lender or settlement agent who violates any provision of this subchapter and causes actual damage to a consumer is subject to a civil action by the aggrieved consumer in which the consumer has the right to recover the greater of actual damages in an amount determined by the court or, except as provided in </w:t>
      </w:r>
      <w:r>
        <w:t>subsection 2</w:t>
      </w:r>
      <w:r>
        <w:t xml:space="preserve">, an amount determined by the court not less than $250 nor more than $1,000, plus costs of the action together with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2</w:t>
        <w:t xml:space="preserve">.  </w:t>
      </w:r>
      <w:r>
        <w:rPr>
          <w:b/>
        </w:rPr>
        <w:t xml:space="preserve">Bona fide error.</w:t>
        <w:t xml:space="preserve"> </w:t>
      </w:r>
      <w:r>
        <w:t xml:space="preserve"> </w:t>
      </w:r>
      <w:r>
        <w:t xml:space="preserve">Liability under </w:t>
      </w:r>
      <w:r>
        <w:t>subsection 1</w:t>
      </w:r>
      <w:r>
        <w:t xml:space="preserve"> is limited to actual damages, plus costs of the action together with reasonable attorney's fees, if the lender or settlement agent shows by a preponderance of the evidence that the violation was not intentional and resulted from a bona fide error notwithstanding the maintenance of procedures reasonably adopted to avoid any such error.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3</w:t>
        <w:t xml:space="preserve">.  </w:t>
      </w:r>
      <w:r>
        <w:rPr>
          <w:b/>
        </w:rPr>
        <w:t xml:space="preserve">Limitation of actions.</w:t>
        <w:t xml:space="preserve"> </w:t>
      </w:r>
      <w:r>
        <w:t xml:space="preserve"> </w:t>
      </w:r>
      <w:r>
        <w:t xml:space="preserve">An action may not be brought pursuant to this subchapter more than 2 years after the violation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§526.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§526.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