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Bylaws</w:t>
      </w:r>
    </w:p>
    <w:p>
      <w:pPr>
        <w:jc w:val="both"/>
        <w:spacing w:before="100" w:after="100"/>
        <w:ind w:start="360"/>
        <w:ind w:firstLine="360"/>
      </w:pPr>
      <w:r>
        <w:rPr/>
      </w:r>
      <w:r>
        <w:rPr/>
      </w:r>
      <w:r>
        <w:t xml:space="preserve">The administration of every property shall be governed by bylaws, a copy of which shall be annexed to the declaration and made a part thereof. No modification of or amendment to the bylaws shall be of legal effect until set forth in an amendment to the declaration and such amendment is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