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§580. LIEN FOR COMMON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