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Certificates, conditions and requisites of</w:t>
      </w:r>
    </w:p>
    <w:p>
      <w:pPr>
        <w:jc w:val="both"/>
        <w:spacing w:before="100" w:after="100"/>
        <w:ind w:start="360"/>
        <w:ind w:firstLine="360"/>
      </w:pPr>
      <w:r>
        <w:rPr/>
      </w:r>
      <w:r>
        <w:rPr/>
      </w:r>
      <w:r>
        <w:t xml:space="preserve">No such certificate shall be made, except upon comparison of the original instrument with the record thereof, by the register making the certificate, and such certificate shall state the date when it was made, the fact of comparison and the date when the original instrument was left for record, but shall be only prima facie evidence of the last fact.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 Certificates, conditions and requisites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Certificates, conditions and requisites 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§610. CERTIFICATES, CONDITIONS AND REQUISITES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