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762</w:t>
        <w:t xml:space="preserve">.  </w:t>
      </w:r>
      <w:r>
        <w:rPr>
          <w:b/>
        </w:rPr>
        <w:t xml:space="preserve">Rules and definitions</w:t>
      </w:r>
    </w:p>
    <w:p>
      <w:pPr>
        <w:jc w:val="both"/>
        <w:spacing w:before="100" w:after="100"/>
        <w:ind w:start="360"/>
        <w:ind w:firstLine="360"/>
      </w:pPr>
      <w:r>
        <w:rPr/>
      </w:r>
      <w:r>
        <w:rPr/>
      </w:r>
      <w:r>
        <w:t xml:space="preserve">For the purpose of avoiding the unnecessary use of words in deeds or other instruments relating to real estate, whether the statutory short form or other forms are used, the rules and definitions contained in </w:t>
      </w:r>
      <w:r>
        <w:t>sections 763</w:t>
      </w:r>
      <w:r>
        <w:t xml:space="preserve"> to </w:t>
      </w:r>
      <w:r>
        <w:t>774</w:t>
      </w:r>
      <w:r>
        <w:t xml:space="preserve"> shall apply to all such instruments executed or delivered on or after January 1, 1968.</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§762. Rules and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§762. Rules and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§762. RULES AND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