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Titles not defeated by trusts without notice or record</w:t>
      </w:r>
    </w:p>
    <w:p>
      <w:pPr>
        <w:jc w:val="both"/>
        <w:spacing w:before="100" w:after="100"/>
        <w:ind w:start="360"/>
        <w:ind w:firstLine="360"/>
      </w:pPr>
      <w:r>
        <w:rPr/>
      </w:r>
      <w:r>
        <w:rPr/>
      </w:r>
      <w:r>
        <w:t xml:space="preserve">The title of a purchaser for a valuable consideration or a title derived from levy of an execution cannot be defeated by a trust, however declared or implied by law, unless the purchaser or creditor had notice thereof. When the instrument, creating or declaring it, is recorded in the registry where the land lies, that is to be regarded as such notice.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Titles not defeated by trusts without notice or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Titles not defeated by trusts without notice or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§852. TITLES NOT DEFEATED BY TRUSTS WITHOUT NOTICE OR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