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11272</w:t>
        <w:t xml:space="preserve">.  </w:t>
      </w:r>
      <w:r>
        <w:rPr>
          <w:b/>
        </w:rPr>
        <w:t xml:space="preserve">Application</w:t>
      </w:r>
    </w:p>
    <w:p>
      <w:pPr>
        <w:jc w:val="both"/>
        <w:spacing w:before="100" w:after="100"/>
        <w:ind w:start="360"/>
        <w:ind w:firstLine="360"/>
      </w:pPr>
      <w:r>
        <w:rPr/>
      </w:r>
      <w:r>
        <w:rPr/>
      </w:r>
      <w:r>
        <w:t xml:space="preserve">This chapter applies to:</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360"/>
        <w:ind w:firstLine="360"/>
      </w:pPr>
      <w:r>
        <w:rPr>
          <w:b/>
        </w:rPr>
        <w:t>1</w:t>
        <w:t xml:space="preserve">.  </w:t>
      </w:r>
      <w:r>
        <w:rPr>
          <w:b/>
        </w:rPr>
        <w:t xml:space="preserve">Maine.</w:t>
        <w:t xml:space="preserve"> </w:t>
      </w:r>
      <w:r>
        <w:t xml:space="preserve"> </w:t>
      </w:r>
      <w:r>
        <w:t xml:space="preserve">A person who commits criminal conduct and is sentenced in this State on or after January 1, 2013 as an adult or as a juvenile sentenced as an adult for that criminal conduct and that criminal conduct is a Tier I offense, Tier II offense or Tier III offense;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w:pPr>
        <w:jc w:val="both"/>
        <w:spacing w:before="100" w:after="100"/>
        <w:ind w:start="360"/>
        <w:ind w:firstLine="360"/>
      </w:pPr>
      <w:r>
        <w:rPr>
          <w:b/>
        </w:rPr>
        <w:t>2</w:t>
        <w:t xml:space="preserve">.  </w:t>
      </w:r>
      <w:r>
        <w:rPr>
          <w:b/>
        </w:rPr>
        <w:t xml:space="preserve">Other jurisdictions.</w:t>
        <w:t xml:space="preserve"> </w:t>
      </w:r>
      <w:r>
        <w:t xml:space="preserve"> </w:t>
      </w:r>
      <w:r>
        <w:t xml:space="preserve">A person who commits criminal conduct and is sentenced in another jurisdiction for that criminal conduct on or after January 1, 2013 as an adult or as a juvenile sentenced as an adult:</w:t>
      </w:r>
    </w:p>
    <w:p>
      <w:pPr>
        <w:jc w:val="both"/>
        <w:spacing w:before="100" w:after="0"/>
        <w:ind w:start="720"/>
      </w:pPr>
      <w:r>
        <w:rPr/>
        <w:t>A</w:t>
        <w:t xml:space="preserve">.  </w:t>
      </w:r>
      <w:r>
        <w:rPr/>
      </w:r>
      <w:r>
        <w:t xml:space="preserve">For an offense that requires registration in the jurisdiction of conviction pursuant to that jurisdiction's sex offender registration laws or that would have required registration had the person remained there;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B</w:t>
        <w:t xml:space="preserve">.  </w:t>
      </w:r>
      <w:r>
        <w:rPr/>
      </w:r>
      <w:r>
        <w:t xml:space="preserve">For an offense that contains the essential elements of a Tier I offense, Tier II offense or Tier III offense; or</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w:pPr>
        <w:jc w:val="both"/>
        <w:spacing w:before="100" w:after="0"/>
        <w:ind w:start="720"/>
      </w:pPr>
      <w:r>
        <w:rPr/>
        <w:t>C</w:t>
        <w:t xml:space="preserve">.  </w:t>
      </w:r>
      <w:r>
        <w:rPr/>
      </w:r>
      <w:r>
        <w:t xml:space="preserve">For a military, tribal or federal offense requiring registration pursuant to:</w:t>
      </w:r>
    </w:p>
    <w:p>
      <w:pPr>
        <w:jc w:val="both"/>
        <w:spacing w:before="100" w:after="0"/>
        <w:ind w:start="1080"/>
      </w:pPr>
      <w:r>
        <w:rPr/>
        <w:t>(</w:t>
        <w:t>1</w:t>
        <w:t xml:space="preserve">)  </w:t>
      </w:r>
      <w:r>
        <w:rPr/>
      </w:r>
      <w:r>
        <w:t xml:space="preserve">The federal Jacob Wetterling Crimes Against Children and Sexually Violent Offender Registration Act, also known as the Jacob Wetterling Act, </w:t>
      </w:r>
      <w:r>
        <w:t>Section 170101</w:t>
      </w:r>
      <w:r>
        <w:t xml:space="preserve"> of the federal Violent Crime Control and Law Enforcement Act of 1994, Public Law 103-322, as amended; or</w:t>
      </w:r>
    </w:p>
    <w:p>
      <w:pPr>
        <w:jc w:val="both"/>
        <w:spacing w:before="100" w:after="0"/>
        <w:ind w:start="1080"/>
      </w:pPr>
      <w:r>
        <w:rPr/>
        <w:t>(</w:t>
        <w:t>2</w:t>
        <w:t xml:space="preserve">)  </w:t>
      </w:r>
      <w:r>
        <w:rPr/>
      </w:r>
      <w:r>
        <w:t xml:space="preserve">The federal Adam Walsh Child Protection and Safety Act of 2006, Public Law 109-248, 42 United States Code, </w:t>
      </w:r>
      <w:r>
        <w:t>Chapter 151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663,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§11272.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§11272.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§11272.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