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11403</w:t>
        <w:t xml:space="preserve">.  </w:t>
      </w:r>
      <w:r>
        <w:rPr>
          <w:b/>
        </w:rPr>
        <w:t xml:space="preserve">Duties; powers</w:t>
      </w:r>
    </w:p>
    <w:p>
      <w:pPr>
        <w:jc w:val="both"/>
        <w:spacing w:before="100" w:after="0"/>
        <w:ind w:start="360"/>
        <w:ind w:firstLine="360"/>
      </w:pPr>
      <w:r>
        <w:rPr>
          <w:b/>
        </w:rPr>
        <w:t>1</w:t>
        <w:t xml:space="preserve">.  </w:t>
      </w:r>
      <w:r>
        <w:rPr>
          <w:b/>
        </w:rPr>
        <w:t xml:space="preserve">Consultation.</w:t>
        <w:t xml:space="preserve"> </w:t>
      </w:r>
      <w:r>
        <w:t xml:space="preserve"> </w:t>
      </w:r>
      <w:r>
        <w:t xml:space="preserve">The commission shall consult with experts in the field of sex offender matters, including but not limited to state or federal agencies, courts, correctional facilities, organizations whose affairs pertain to sex offender matters and other interested parties as the commission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Recommendations.</w:t>
        <w:t xml:space="preserve"> </w:t>
      </w:r>
      <w:r>
        <w:t xml:space="preserve"> </w:t>
      </w:r>
      <w:r>
        <w:t xml:space="preserve">The commission may study and make policy recommendations regarding sex offender risk assessment and management to agencies of the executive branch, the judicial branch and the Legislature or to any other entity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Review laws; legislation.</w:t>
        <w:t xml:space="preserve"> </w:t>
      </w:r>
      <w:r>
        <w:t xml:space="preserve"> </w:t>
      </w:r>
      <w:r>
        <w:t xml:space="preserve">The commission shall examine the sex offender registration and notification laws and any other state laws pertaining to sex offender risk assessment and management and may submit to the Legislature, at the start of each legislative session, such changes to those laws as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accept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§11403.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§11403.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§11403.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