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§1214-A. ELDER VICTIMS RESTITUTION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