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§5803. ELIGIBILITY FOR HEARING;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