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§5810. RECORDS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