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9885</w:t>
        <w:t xml:space="preserve">.  </w:t>
      </w:r>
      <w:r>
        <w:rPr>
          <w:b/>
        </w:rPr>
        <w:t xml:space="preserve">Notification of law enforcement agencies</w:t>
      </w:r>
    </w:p>
    <w:p>
      <w:pPr>
        <w:jc w:val="both"/>
        <w:spacing w:before="100" w:after="100"/>
        <w:ind w:start="360"/>
        <w:ind w:firstLine="360"/>
      </w:pPr>
      <w:r>
        <w:rPr/>
      </w:r>
      <w:r>
        <w:rPr/>
      </w:r>
      <w:r>
        <w:t xml:space="preserve">Prior to the department's consideration of a request under this compact, the department shall notify the district attorney for the district in which the person will reside; the sheriff for the county in which the person will reside; the chief of police of any municipality in which the person will reside; and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§9885. Notification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§9885. Notification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§9885. NOTIFICATION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