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§1231. Self-sufficiency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Self-sufficiency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§1231. SELF-SUFFICIENCY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