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13001</w:t>
        <w:t xml:space="preserve">.  </w:t>
      </w:r>
      <w:r>
        <w:rPr>
          <w:b/>
        </w:rPr>
        <w:t xml:space="preserve">Policy</w:t>
      </w:r>
    </w:p>
    <w:p>
      <w:pPr>
        <w:jc w:val="both"/>
        <w:spacing w:before="100" w:after="100"/>
        <w:ind w:start="360"/>
        <w:ind w:firstLine="360"/>
      </w:pPr>
      <w:r>
        <w:rPr/>
      </w:r>
      <w:r>
        <w:rPr/>
      </w:r>
      <w:r>
        <w:t xml:space="preserve">It is the purpose of this chapter to develop a mechanism by which the concept of receivership can be utilized for the protection of individuals served or funded by the department.  It is the intent of the Legislature that receivership be a remedy of last resort when all other methods of remedy have failed or when the implementation of other remedies would be futile.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§13001.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