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13007</w:t>
        <w:t xml:space="preserve">.  </w:t>
      </w:r>
      <w:r>
        <w:rPr>
          <w:b/>
        </w:rPr>
        <w:t xml:space="preserve">Court order to have effect of license</w:t>
      </w:r>
    </w:p>
    <w:p>
      <w:pPr>
        <w:jc w:val="both"/>
        <w:spacing w:before="100" w:after="100"/>
        <w:ind w:start="360"/>
        <w:ind w:firstLine="360"/>
      </w:pPr>
      <w:r>
        <w:rPr/>
      </w:r>
      <w:r>
        <w:rPr/>
      </w:r>
      <w:r>
        <w:t xml:space="preserve">An order appointing a receiver under </w:t>
      </w:r>
      <w:r>
        <w:t>section 13003</w:t>
      </w:r>
      <w:r>
        <w:t xml:space="preserve"> has the effect of a license for the duration of the receivership.  The receiver is responsible to the court for the conduct of the facility or provider during the receivership, and a violation of regulations governing the conduct of the facility or provider, if not promptly corrected, must be reported by the department to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§13007. Court order to have effect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§13007. Court order to have effect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§13007. COURT ORDER TO HAVE EFFECT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