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5432</w:t>
        <w:t xml:space="preserve">.  </w:t>
      </w:r>
      <w:r>
        <w:rPr>
          <w:b/>
        </w:rPr>
        <w:t xml:space="preserve">Commissioner's duties</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Community participation.</w:t>
        <w:t xml:space="preserve"> </w:t>
      </w:r>
      <w:r>
        <w:t xml:space="preserve"> </w:t>
      </w:r>
      <w:r>
        <w:t xml:space="preserve">Encourage persons in local communities to participate in the provision of supportive services for persons with intellectual disabilities or autism, so that persons in the community may have a better understanding of the need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§95 (AMD).]</w:t>
      </w:r>
    </w:p>
    <w:p>
      <w:pPr>
        <w:jc w:val="both"/>
        <w:spacing w:before="100" w:after="0"/>
        <w:ind w:start="360"/>
        <w:ind w:firstLine="360"/>
      </w:pPr>
      <w:r>
        <w:rPr>
          <w:b/>
        </w:rPr>
        <w:t>2</w:t>
        <w:t xml:space="preserve">.  </w:t>
      </w:r>
      <w:r>
        <w:rPr>
          <w:b/>
        </w:rPr>
        <w:t xml:space="preserve">Financial assistance.</w:t>
        <w:t xml:space="preserve"> </w:t>
      </w:r>
      <w:r>
        <w:t xml:space="preserve"> </w:t>
      </w:r>
      <w:r>
        <w:t xml:space="preserve">When offering assistance to community-based programs, follow the procedures set forth in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Rules.</w:t>
        <w:t xml:space="preserve"> </w:t>
      </w:r>
      <w:r>
        <w:t xml:space="preserve"> </w:t>
      </w:r>
      <w:r>
        <w:t xml:space="preserve">Adopt rules, according to the Maine Administrative Procedure Act, </w:t>
      </w:r>
      <w:r>
        <w:t>Title 5, chapter 375</w:t>
      </w:r>
      <w:r>
        <w:t xml:space="preserve">, relating to the administration of the services authorized by this article and adopt major substantive rules, according to </w:t>
      </w:r>
      <w:r>
        <w:t>Title 5, chapter 375, subchapter 2‑A</w:t>
      </w:r>
      <w:r>
        <w:t xml:space="preserve">, relating to rate setting pursuant to Public Law 2005, chapter 12, Part BBBB and Public Law 2005, chapter 519, Part CCC.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§CCC35 (AMD). PL 2007, c. 237, §1 (AMD). PL 2011, c. 542, Pt. A, §95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§5432.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§5432.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§5432.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