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5466</w:t>
        <w:t xml:space="preserve">.  </w:t>
      </w:r>
      <w:r>
        <w:rPr>
          <w:b/>
        </w:rPr>
        <w:t xml:space="preserve">Advocate</w:t>
      </w:r>
    </w:p>
    <w:p>
      <w:pPr>
        <w:jc w:val="both"/>
        <w:spacing w:before="100" w:after="0"/>
        <w:ind w:start="360"/>
        <w:ind w:firstLine="360"/>
      </w:pPr>
      <w:r>
        <w:rPr>
          <w:b/>
        </w:rPr>
        <w:t>1</w:t>
        <w:t xml:space="preserve">.  </w:t>
      </w:r>
      <w:r>
        <w:rPr>
          <w:b/>
        </w:rPr>
        <w:t xml:space="preserve">Entitlement.</w:t>
        <w:t xml:space="preserve"> </w:t>
      </w:r>
      <w:r>
        <w:t xml:space="preserve"> </w:t>
      </w:r>
      <w:r>
        <w:t xml:space="preserve">Each client who receives services under </w:t>
      </w:r>
      <w:r>
        <w:t>sections 5467</w:t>
      </w:r>
      <w:r>
        <w:t xml:space="preserve"> to </w:t>
      </w:r>
      <w:r>
        <w:t>5471</w:t>
      </w:r>
      <w:r>
        <w:t xml:space="preserve"> is entitled to have access to an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§9 (AMD).]</w:t>
      </w:r>
    </w:p>
    <w:p>
      <w:pPr>
        <w:jc w:val="both"/>
        <w:spacing w:before="100" w:after="0"/>
        <w:ind w:start="360"/>
        <w:ind w:firstLine="360"/>
      </w:pPr>
      <w:r>
        <w:rPr>
          <w:b/>
        </w:rPr>
        <w:t>2</w:t>
        <w:t xml:space="preserve">.  </w:t>
      </w:r>
      <w:r>
        <w:rPr>
          <w:b/>
        </w:rPr>
        <w:t xml:space="preserve">List.</w:t>
        <w:t xml:space="preserve"> </w:t>
      </w:r>
      <w:r>
        <w:t xml:space="preserve"> </w:t>
      </w:r>
      <w:r>
        <w:t xml:space="preserve">The commissioner shall develop a list of advocates for each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§16 (AMD). PL 1993, c. 410, §CCC39 (AMD). PL 1995, c. 560, §K55 (AMD). PL 2013, c. 21,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§5466.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§5466.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§5466.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