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Statement of purpose</w:t>
      </w:r>
    </w:p>
    <w:p>
      <w:pPr>
        <w:jc w:val="both"/>
        <w:spacing w:before="100" w:after="100"/>
        <w:ind w:start="360"/>
        <w:ind w:firstLine="360"/>
      </w:pPr>
      <w:r>
        <w:rPr/>
      </w:r>
      <w:r>
        <w:rPr/>
      </w:r>
      <w:r>
        <w:t xml:space="preserve">The purpose of this Title is to ensure that there is a regulatory system for public utilities in the State and for other entities subject to this Title that is consistent with the public interest and with other requirements of law and to provide for reasonable licensing requirements for competitive electricity providers.  The basic purpose of this regulatory system as it applies to public utilities subject to service regulation under this Title is to ensure safe, reasonable and adequate service, to assist in minimizing the cost of energy available to the State’s consumers, to ensure that the rates of public utilities subject to rate regulation are just and reasonable to customers and public utilities and to reduce greenhouse gas emissions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 (AMD). PL 1999, c. 398, §§A104,105 (AFF). PL 2011, c. 623, Pt. D, §2 (AMD). PL 2013, c. 369, Pt. F, §1 (AMD). PL 2021,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