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Abandonment of property or service</w:t>
      </w:r>
    </w:p>
    <w:p>
      <w:pPr>
        <w:jc w:val="both"/>
        <w:spacing w:before="100" w:after="0"/>
        <w:ind w:start="360"/>
        <w:ind w:firstLine="360"/>
      </w:pPr>
      <w:r>
        <w:rPr>
          <w:b/>
        </w:rPr>
        <w:t>1</w:t>
        <w:t xml:space="preserve">.  </w:t>
      </w:r>
      <w:r>
        <w:rPr>
          <w:b/>
        </w:rPr>
        <w:t xml:space="preserve">Commission approval.</w:t>
        <w:t xml:space="preserve"> </w:t>
      </w:r>
      <w:r>
        <w:t xml:space="preserve"> </w:t>
      </w:r>
      <w:r>
        <w:t xml:space="preserve">No public utility may abandon all or part of its plant, property or system necessary or useful in the performance of its duties to the public, or discontinue the service which it is providing to the public by the use of such facilities, without first securing the commission's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In granting its approval, the commission may impose such terms, conditions or requirements as in its judgment are necessary to protect the public interest.  A public utility abandoning all or part of its plant, property or system or discontinuing service pursuant to authority granted by the commission under this section is deemed to have waived all objections to the terms, conditions or requirements imposed by the commission in that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Abandonment of property 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Abandonment of property 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§1104. ABANDONMENT OF PROPERTY 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