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Substantial compliance</w:t>
      </w:r>
    </w:p>
    <w:p>
      <w:pPr>
        <w:jc w:val="both"/>
        <w:spacing w:before="100" w:after="100"/>
        <w:ind w:start="360"/>
        <w:ind w:firstLine="360"/>
      </w:pPr>
      <w:r>
        <w:rPr/>
      </w:r>
      <w:r>
        <w:rPr/>
      </w:r>
      <w:r>
        <w:t xml:space="preserve">Substantial compliance by the commission with the requirements of this Title gives effect to all the commission's rules, orders and acts.  The commission's rules, orders and acts may not be declared inoperative, illegal or void for an omission of a technical and immaterial nature.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Substantial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Substantial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§1301. SUBSTANTIAL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