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Private line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Private line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 PRIVATE LINE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