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§3210-H. FLOATING OFFSHORE WIND RESEARCH ARRAY;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