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3217</w:t>
        <w:t xml:space="preserve">.  </w:t>
      </w:r>
      <w:r>
        <w:rPr>
          <w:b/>
        </w:rPr>
        <w:t xml:space="preserve">Reports</w:t>
      </w:r>
    </w:p>
    <w:p>
      <w:pPr>
        <w:jc w:val="both"/>
        <w:spacing w:before="100" w:after="100"/>
        <w:ind w:start="360"/>
        <w:ind w:firstLine="360"/>
      </w:pPr>
      <w:r>
        <w:rPr>
          <w:b/>
        </w:rPr>
        <w:t>1</w:t>
        <w:t xml:space="preserve">.  </w:t>
      </w:r>
      <w:r>
        <w:rPr>
          <w:b/>
        </w:rPr>
        <w:t xml:space="preserve">Annual restructuring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§8 (RP).]</w:t>
      </w:r>
    </w:p>
    <w:p>
      <w:pPr>
        <w:jc w:val="both"/>
        <w:spacing w:before="100" w:after="0"/>
        <w:ind w:start="360"/>
        <w:ind w:firstLine="360"/>
      </w:pPr>
      <w:r>
        <w:rPr>
          <w:b/>
        </w:rPr>
        <w:t>2</w:t>
        <w:t xml:space="preserve">.  </w:t>
      </w:r>
      <w:r>
        <w:rPr>
          <w:b/>
        </w:rPr>
        <w:t xml:space="preserve">Proposed changes.</w:t>
        <w:t xml:space="preserve"> </w:t>
      </w:r>
      <w:r>
        <w:t xml:space="preserve"> </w:t>
      </w:r>
      <w:r>
        <w:t xml:space="preserve">If the commission determines, after providing interested parties an opportunity to be heard, that any provision in this chapter is not in the public interest, the commission shall present a report to the joint standing committee of the Legislature having jurisdiction over utility matters stating the basis for the commission's conclusion and including draft legislation designed to modify this chapter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Independent system operator.</w:t>
        <w:t xml:space="preserve"> </w:t>
      </w:r>
      <w:r>
        <w:t xml:space="preserve"> </w:t>
      </w:r>
      <w:r>
        <w:t xml:space="preserve">The commission shall monitor events in the region pertaining to:</w:t>
      </w:r>
    </w:p>
    <w:p>
      <w:pPr>
        <w:jc w:val="both"/>
        <w:spacing w:before="100" w:after="0"/>
        <w:ind w:start="720"/>
      </w:pPr>
      <w:r>
        <w:rPr/>
        <w:t>A</w:t>
        <w:t xml:space="preserve">.  </w:t>
      </w:r>
      <w:r>
        <w:rPr/>
      </w:r>
      <w:r>
        <w:t xml:space="preserve">The development of an independent system operator with responsibility for transmission reliability;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management of competitive access to the regional transmission system;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Rights to negotiate potential contracts between sellers and buyers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If the commission determines that there exists insufficient independence on the part of the independent system operator from any provider of wholesale transmission, competitive electricity provider or electric utility, or if it determines any other problem threatens regional transmission reliability, the commission shall provide a report to the joint standing committee of  the Legislature having jurisdiction over utility matters with a recommendation as to what actions within the authority of the State are available to remedy this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Direct sales.</w:t>
        <w:t xml:space="preserve"> </w:t>
      </w:r>
      <w:r>
        <w:t xml:space="preserve"> </w:t>
      </w:r>
      <w:r>
        <w:t xml:space="preserve">Beginning in 2022 and every 3 years thereafter, the commission shall include in its report pursuant to </w:t>
      </w:r>
      <w:r>
        <w:t>section 120, subsection 7</w:t>
      </w:r>
      <w:r>
        <w:t xml:space="preserve">, information regarding the incidence of direct sales of electricity by an entity that generates electricity to commercial or industrial consumers located on the property where the entity that generates the electricity is located or on abutting property or on a commercial or industrial site that was served by the entity that generates the electricity or its predecessor without using the transmission and distribution plant of a public utility prior to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2001, c. 528, §2 (AMD). PL 2009, c. 122, §15 (AMD). PL 2019, c. 205, §6 (AMD). PL 2023, c. 77,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