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3493</w:t>
        <w:t xml:space="preserve">.  </w:t>
      </w:r>
      <w:r>
        <w:rPr>
          <w:b/>
        </w:rPr>
        <w:t xml:space="preserve">Transfer of ownership</w:t>
      </w:r>
    </w:p>
    <w:p>
      <w:pPr>
        <w:jc w:val="both"/>
        <w:spacing w:before="100" w:after="100"/>
        <w:ind w:start="360"/>
        <w:ind w:firstLine="360"/>
      </w:pPr>
      <w:r>
        <w:rPr/>
      </w:r>
      <w:r>
        <w:rPr/>
      </w:r>
      <w:r>
        <w:t xml:space="preserve">Upon a transfer of ownership of a solar energy development subject to a decommissioning plan approved under </w:t>
      </w:r>
      <w:r>
        <w:t>section 3495</w:t>
      </w:r>
      <w:r>
        <w:t xml:space="preserve">, a person that transfers ownership of the development remains jointly and severally liable for implementation of the plan until the environmental permitting entity approves transfer of the decommissioning plan to the new owner or operator.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§3493.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§3493.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§3493.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