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Nonliability of members for debts of cooperative</w:t>
      </w:r>
    </w:p>
    <w:p>
      <w:pPr>
        <w:jc w:val="both"/>
        <w:spacing w:before="100" w:after="100"/>
        <w:ind w:start="360"/>
        <w:ind w:firstLine="360"/>
      </w:pPr>
      <w:r>
        <w:rPr/>
      </w:r>
      <w:r>
        <w:rPr/>
      </w:r>
      <w:r>
        <w:t xml:space="preserve">No member may be liable or responsible for any debts of the cooperative and the property of the members may not be subject to execution for the cooperative's debts.  This section does not apply to a generation and transmission cooperative organized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§3706. Nonliability of members for debts of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Nonliability of members for debts of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§3706. NONLIABILITY OF MEMBERS FOR DEBTS OF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