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Commission advancement of clean energy and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§3804. COMMISSION ADVANCEMENT OF CLEAN ENERGY AND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