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Existing districts</w:t>
      </w:r>
    </w:p>
    <w:p>
      <w:pPr>
        <w:jc w:val="both"/>
        <w:spacing w:before="100" w:after="100"/>
        <w:ind w:start="360"/>
        <w:ind w:firstLine="360"/>
      </w:pPr>
      <w:r>
        <w:rPr/>
      </w:r>
      <w:r>
        <w:rPr/>
      </w:r>
      <w:r>
        <w:t xml:space="preserve">Any quasi-municipal district organized under the private and special laws that is a transmission and distribution utility within the meaning of </w:t>
      </w:r>
      <w:r>
        <w:t>section 102</w:t>
      </w:r>
      <w:r>
        <w:t xml:space="preserve"> may reorganize in accordance with this chapter.  In addition to the methods of </w:t>
      </w:r>
      <w:r>
        <w:t>sections 3903</w:t>
      </w:r>
      <w:r>
        <w:t xml:space="preserve"> and </w:t>
      </w:r>
      <w:r>
        <w:t>3904</w:t>
      </w:r>
      <w:r>
        <w:t xml:space="preserve">, the trustees may, by majority vote, petition the municipal officers for an election and those officers shall hold an election in accordance with those sections.</w:t>
      </w:r>
      <w:r>
        <w:t xml:space="preserve">  </w:t>
      </w:r>
      <w:r xmlns:wp="http://schemas.openxmlformats.org/drawingml/2010/wordprocessingDrawing" xmlns:w15="http://schemas.microsoft.com/office/word/2012/wordml">
        <w:rPr>
          <w:rFonts w:ascii="Arial" w:hAnsi="Arial" w:cs="Arial"/>
          <w:sz w:val="22"/>
          <w:szCs w:val="22"/>
        </w:rPr>
        <w:t xml:space="preserve">[PL 1999, c. 398, Pt. A, §90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§A90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§3905. Existing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Existing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§3905. EXISTING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