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4704</w:t>
        <w:t xml:space="preserve">.  </w:t>
      </w:r>
      <w:r>
        <w:rPr>
          <w:b/>
        </w:rPr>
        <w:t xml:space="preserve">Cease and desist orders</w:t>
      </w:r>
    </w:p>
    <w:p>
      <w:pPr>
        <w:jc w:val="both"/>
        <w:spacing w:before="100" w:after="100"/>
        <w:ind w:start="360"/>
        <w:ind w:firstLine="360"/>
      </w:pPr>
      <w:r>
        <w:rPr/>
      </w:r>
      <w:r>
        <w:rPr/>
      </w:r>
      <w:r>
        <w:t xml:space="preserve">The commission may order a gas utility to cease and desist from operating or acting in violation of a statute or rule or order of the commission. Whenever practicable, the commission shall notify a gas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§4704. Cease and desist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§4704. Cease and desist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§4704. CEASE AND DESIST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