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 MUNICIPAL AND QUASI-MUNICIPAL WATER UTILITIES SUBJECT TO SUSPENSION, INVESTIGATION, HEARING AND RATE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