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Injunctive relief for violations of municipal shoreland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Injunctive relief for violations of municipal shoreland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§6110. INJUNCTIVE RELIEF FOR VIOLATIONS OF MUNICIPAL SHORELAND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