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6417</w:t>
        <w:t xml:space="preserve">.  </w:t>
      </w:r>
      <w:r>
        <w:rPr>
          <w:b/>
        </w:rPr>
        <w:t xml:space="preserve">Water districts; rights conferred subject to provisions of law</w:t>
      </w:r>
    </w:p>
    <w:p>
      <w:pPr>
        <w:jc w:val="both"/>
        <w:spacing w:before="100" w:after="100"/>
        <w:ind w:start="360"/>
        <w:ind w:firstLine="360"/>
      </w:pPr>
      <w:r>
        <w:rPr/>
      </w:r>
      <w:r>
        <w:rPr/>
      </w:r>
      <w:r>
        <w:t xml:space="preserve">Except as otherwise specifically provided by law, all the rights and duties mentioned in this chapter must be exercised and performed in accordance with all the applicable provisions of this Title to the extent this Title affects the operations of a water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§6417. Water districts; rights conferred subject to provisions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§6417. Water districts; rights conferred subject to provisions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§6417. WATER DISTRICTS; RIGHTS CONFERRED SUBJECT TO PROVISIONS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