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6702</w:t>
        <w:t xml:space="preserve">.  </w:t>
      </w:r>
      <w:r>
        <w:rPr>
          <w:b/>
        </w:rPr>
        <w:t xml:space="preserve">Petition by owner</w:t>
      </w:r>
    </w:p>
    <w:p>
      <w:pPr>
        <w:jc w:val="both"/>
        <w:spacing w:before="100" w:after="100"/>
        <w:ind w:start="360"/>
        <w:ind w:firstLine="360"/>
      </w:pPr>
      <w:r>
        <w:rPr/>
      </w:r>
      <w:r>
        <w:rPr/>
      </w:r>
      <w:r>
        <w:t xml:space="preserve">The owner of the property, within 30 days after the beginning of condemnation proceedings, may file with the commission a petition for a decision as to the necessity of the appropriation.  A copy of the petition and order of notice, attested by the administrative director, shall be served on the defendant.</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§6702. Petition by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§6702. Petition by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§6702. PETITION BY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