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§7 (NEW); RR 2019, c. 1, Pt. A, §57 (RAL); PL 2021, c. 669, §5 (REV).]</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§8 (NEW); RR 2019, c. 1, Pt. A, §58 (RAL); PL 2021, c. 669, §5 (REV).]</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§3 (AMD).]</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3</w:t>
        <w:t xml:space="preserve">)  </w:t>
      </w:r>
      <w:r>
        <w:rPr/>
      </w:r>
      <w:r>
        <w:t xml:space="preserve">The sale, to a person engaged in the business of renting automobiles, of automobiles, integral parts of automobiles or accessories to automobiles, for rental or for use in an automobile rented for a period of less than one year;</w:t>
      </w:r>
    </w:p>
    <w:p>
      <w:pPr>
        <w:jc w:val="both"/>
        <w:spacing w:before="100" w:after="0"/>
        <w:ind w:start="1080"/>
      </w:pPr>
      <w:r>
        <w:rPr/>
        <w:t>(</w:t>
        <w:t>3-A</w:t>
        <w:t xml:space="preserve">)  </w:t>
      </w:r>
      <w:r>
        <w:rPr/>
      </w:r>
      <w:r>
        <w:t xml:space="preserve">The sale, to a person primarily engaged in the business of renting automobiles, of trucks or vans with a gross vehicle weight of less than 26,000 pounds, integral parts of such vehicles or accessories for such vehicles, for rental or for use in such a vehicle rented for a period of less than one year;</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5</w:t>
        <w:t xml:space="preserve">)  </w:t>
      </w:r>
      <w:r>
        <w:rPr/>
      </w:r>
      <w:r>
        <w:t xml:space="preserve">The sale, to a person engaged in the business of renting or leasing automobiles, of automobiles for rental or lease for one year or more;</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sold on or after September 20, 2007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 or</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w:t>
      </w:r>
      <w:r>
        <w:t xml:space="preserve">  </w:t>
      </w:r>
      <w:r xmlns:wp="http://schemas.openxmlformats.org/drawingml/2010/wordprocessingDrawing" xmlns:w15="http://schemas.microsoft.com/office/word/2012/wordml">
        <w:rPr>
          <w:rFonts w:ascii="Arial" w:hAnsi="Arial" w:cs="Arial"/>
          <w:sz w:val="22"/>
          <w:szCs w:val="22"/>
        </w:rPr>
        <w:t xml:space="preserve">[PL 2021, c. 578,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§1 (AMD).]</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contracts payable by rental or license fees for the right of possession and use, but only when such leases and contracts are deemed by the State Tax Assessor to be in lieu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§20 (AMD).]</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or of a truck or van with a gross vehicle weight of less than 26,000 pounds rented from a person primarily engaged in the business of renting automobiles,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2021, c. 578, §2 (AMD).]</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pursuant to warranty;</w:t>
      </w:r>
    </w:p>
    <w:p>
      <w:pPr>
        <w:jc w:val="both"/>
        <w:spacing w:before="100" w:after="0"/>
        <w:ind w:start="1080"/>
      </w:pPr>
      <w:r>
        <w:rPr/>
        <w:t>(</w:t>
        <w:t>3</w:t>
        <w:t xml:space="preserve">)  </w:t>
      </w:r>
      <w:r>
        <w:rPr/>
      </w:r>
      <w:r>
        <w:t xml:space="preserve">The price of property returned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 or</w:t>
      </w:r>
    </w:p>
    <w:p>
      <w:pPr>
        <w:jc w:val="both"/>
        <w:spacing w:before="100" w:after="0"/>
        <w:ind w:start="1080"/>
      </w:pPr>
      <w:r>
        <w:rPr/>
        <w:t>(</w:t>
        <w:t>13</w:t>
        <w:t xml:space="preserve">)  </w:t>
      </w:r>
      <w:r>
        <w:rPr/>
      </w:r>
      <w:r>
        <w:t xml:space="preserve">A paint stewardship assessment imposed pursuant to </w:t>
      </w:r>
      <w:r>
        <w:t>Title 38, section 2144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§2 (AMD).]</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rental or lease of an automobile, a camper trailer, or a motor home, as defined in </w:t>
      </w:r>
      <w:r>
        <w:t>Title 29‑A, section 101, subsection 40</w:t>
      </w:r>
      <w:r>
        <w:t xml:space="preserve">; the rental or lease of a truck or van with a gross vehicle weight of less than 26,000 pounds from a person primarily engaged in the business of renting automobiles;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§3 (AMD).]</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to purchasers from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§5 (RPR).]</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"rentals" includes any receipts derived from the use of property that is rented or 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2</w:t>
        <w:t xml:space="preserve">.  </w:t>
      </w:r>
      <w:r>
        <w:rPr>
          <w:b/>
        </w:rPr>
        <w:t xml:space="preserve">Generally; tax imposed on rental payments.</w:t>
        <w:t xml:space="preserve"> </w:t>
      </w:r>
      <w:r>
        <w:t xml:space="preserve"> </w:t>
      </w:r>
      <w:r>
        <w:t xml:space="preserve">This section governs the taxation of tangible personal property that is purchased for resale in this State, other than at casual sale, and upon which no sales tax has been paid pursuant to </w:t>
      </w:r>
      <w:r>
        <w:t>chapters 211</w:t>
      </w:r>
      <w:r>
        <w:t xml:space="preserve"> to </w:t>
      </w:r>
      <w:r>
        <w:t>225</w:t>
      </w:r>
      <w:r>
        <w:t xml:space="preserve"> when the property is rented or leased after purchase on an interim basis by the purchaser to another person prior to being sold.  In lieu of the use tax otherwise imposed by </w:t>
      </w:r>
      <w:r>
        <w:t>section 1861</w:t>
      </w:r>
      <w:r>
        <w:t xml:space="preserve">, a tax is imposed at the same rate as that provided in the case of sales taxes by </w:t>
      </w:r>
      <w:r>
        <w:t>section 1811</w:t>
      </w:r>
      <w:r>
        <w:t xml:space="preserve"> upon all rentals received by the purchaser for the use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purchaser is liable for a use tax on the property based on the purchase price less the aggregate amount of tax paid pursuant to this section on the rentals received by the purchaser in the following circumstances:</w:t>
      </w:r>
    </w:p>
    <w:p>
      <w:pPr>
        <w:jc w:val="both"/>
        <w:spacing w:before="100" w:after="0"/>
        <w:ind w:start="720"/>
      </w:pPr>
      <w:r>
        <w:rPr/>
        <w:t>A</w:t>
        <w:t xml:space="preserve">.  </w:t>
      </w:r>
      <w:r>
        <w:rPr/>
      </w:r>
      <w:r>
        <w:t xml:space="preserve">When the purchaser, after first renting tangible personal property purchased for resale, subsequently makes any use of that property other than as set forth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w:pPr>
        <w:jc w:val="both"/>
        <w:spacing w:before="100" w:after="0"/>
        <w:ind w:start="720"/>
      </w:pPr>
      <w:r>
        <w:rPr/>
        <w:t>B</w:t>
        <w:t xml:space="preserve">.  </w:t>
      </w:r>
      <w:r>
        <w:rPr/>
      </w:r>
      <w:r>
        <w:t xml:space="preserve">When the purchaser rents the property for a period of 12 months or more to any one person.</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4</w:t>
        <w:t xml:space="preserve">.  </w:t>
      </w:r>
      <w:r>
        <w:rPr>
          <w:b/>
        </w:rPr>
        <w:t xml:space="preserve">Other sections applicable.</w:t>
        <w:t xml:space="preserve"> </w:t>
      </w:r>
      <w:r>
        <w:t xml:space="preserve"> </w:t>
      </w:r>
      <w:r>
        <w:t xml:space="preserve">The tax on rentals imposed by this section is subject to </w:t>
      </w:r>
      <w:r>
        <w:t>section 1812</w:t>
      </w:r>
      <w:r>
        <w:t xml:space="preserve"> and all other pertinent provisions of this Part and for the purposes of this Part is treated the same as the sales tax imposed by </w:t>
      </w:r>
      <w:r>
        <w:t>section 1811</w:t>
      </w:r>
      <w:r>
        <w:t xml:space="preserve"> with the lessor deemed to be the retailer, the lease payments deemed to be the sale price and the lessee deemed to be the purchaser and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