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571. INTERSTATE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