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712</w:t>
      </w:r>
    </w:p>
    <w:p>
      <w:pPr>
        <w:jc w:val="center"/>
        <w:ind w:start="360"/>
        <w:spacing w:before="300" w:after="300"/>
      </w:pPr>
      <w:r>
        <w:rPr>
          <w:b/>
        </w:rPr>
        <w:t xml:space="preserve">REAL ESTATE TRANSFERS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4652</w:t>
        <w:t xml:space="preserve">.  </w:t>
      </w:r>
      <w:r>
        <w:rPr>
          <w:b/>
        </w:rPr>
        <w:t xml:space="preserve">Tax stamps;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4653</w:t>
        <w:t xml:space="preserve">.  </w:t>
      </w:r>
      <w:r>
        <w:rPr>
          <w:b/>
        </w:rPr>
        <w:t xml:space="preserve">Stamps affixed;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1969, c. 111 (AMD). PL 1975, c. 572, §2 (RP). </w:t>
      </w:r>
    </w:p>
    <w:p>
      <w:pPr>
        <w:jc w:val="both"/>
        <w:spacing w:before="100" w:after="100"/>
        <w:ind w:start="1080" w:hanging="720"/>
      </w:pPr>
      <w:r>
        <w:rPr>
          <w:b/>
        </w:rPr>
        <w:t>§</w:t>
        <w:t>4654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1973, c. 788, §191 (AMD).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712. REAL ESTATE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712. REAL ESTATE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712. REAL ESTATE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