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Action may be brought in name of municipality</w:t>
      </w:r>
    </w:p>
    <w:p>
      <w:pPr>
        <w:jc w:val="both"/>
        <w:spacing w:before="100" w:after="100"/>
        <w:ind w:start="360"/>
        <w:ind w:firstLine="360"/>
      </w:pPr>
      <w:r>
        <w:rPr/>
      </w:r>
      <w:r>
        <w:rPr/>
      </w:r>
      <w:r>
        <w:t xml:space="preserve">In addition to other provisions for the collection of taxes, the municipal officers of any municipality to which a tax is due may in writing direct a civil action to be commenced in the name of such municipality against the party liable; but no such defendant is liable for any costs of the action, unless it appears by the declaration and by proof that payment of said tax had been duly demanded before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§1032. Action may be brought in name of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Action may be brought in name of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§1032. ACTION MAY BE BROUGHT IN NAME OF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