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Purpose</w:t>
      </w:r>
    </w:p>
    <w:p>
      <w:pPr>
        <w:jc w:val="both"/>
        <w:spacing w:before="100" w:after="100"/>
        <w:ind w:start="360"/>
        <w:ind w:firstLine="360"/>
      </w:pPr>
      <w:r>
        <w:rPr/>
      </w:r>
      <w:r>
        <w:rPr/>
      </w:r>
      <w:r>
        <w:t xml:space="preserve">It is declared that it is in the public interest to encourage the preservation of farmland and open space land in order to maintain a readily available source of food and farm products close to the metropolitan areas of the State to conserve the State's natural resources and to provide for the welfare and happiness of the inhabitants of the State, that it is in the public interest to prevent the forced conversion of farmland and open space land to more intensive uses as the result of economic pressures caused by the assessment thereof for purposes of property taxation at values incompatible with their preservation as such farmland and open space land, and that the necessity in the public interest of the enactment of this subchapter is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