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Assessment of tax</w:t>
      </w:r>
    </w:p>
    <w:p>
      <w:pPr>
        <w:jc w:val="both"/>
        <w:spacing w:before="100" w:after="0"/>
        <w:ind w:start="360"/>
        <w:ind w:firstLine="360"/>
      </w:pPr>
      <w:r>
        <w:rPr>
          <w:b/>
        </w:rPr>
        <w:t>1</w:t>
        <w:t xml:space="preserve">.  </w:t>
      </w:r>
      <w:r>
        <w:rPr>
          <w:b/>
        </w:rPr>
        <w:t xml:space="preserve">Organized areas.</w:t>
        <w:t xml:space="preserve"> </w:t>
      </w:r>
      <w:r>
        <w:t xml:space="preserve"> </w:t>
      </w:r>
      <w:r>
        <w:t xml:space="preserve">The municipal assessors shall adjust the 100% valuations per acre for farmland for their jurisdiction by whatever ratio or percentage of current just value is then being applied to other property within the municipality to obtain the assessed values.  For any tax year, the classified farmland value must reflect only the current use value for farm or open space purposes and may not include any increment of value reflecting development pressure.  Commencing April 1, 1978, land in the organized areas subject to taxation under this subchapter must be taxed at the property tax rate applicable to other property in the municipality, which rate must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§3 (AMD).]</w:t>
      </w:r>
    </w:p>
    <w:p>
      <w:pPr>
        <w:jc w:val="both"/>
        <w:spacing w:before="100" w:after="0"/>
        <w:ind w:start="360"/>
        <w:ind w:firstLine="360"/>
      </w:pPr>
      <w:r>
        <w:rPr>
          <w:b/>
        </w:rPr>
        <w:t>2</w:t>
        <w:t xml:space="preserve">.  </w:t>
      </w:r>
      <w:r>
        <w:rPr>
          <w:b/>
        </w:rPr>
        <w:t xml:space="preserve">Unorganized territory.</w:t>
        <w:t xml:space="preserve"> </w:t>
      </w:r>
      <w:r>
        <w:t xml:space="preserve"> </w:t>
      </w:r>
      <w:r>
        <w:t xml:space="preserve">The State Tax Assessor shall adjust the 100% valuations per acre for farmland for the unorganized territory by such ratio or percentage as is then being used to determine the state valuation applicable to other property in the unorganized territory to obtain the assessed values.  For any tax year, the classified farmland value must reflect only the current use value for farm or open space purposes and shall not include any increment of value reflecting development pressure.  Commencing April 1, 1978, land in the unorganized territory subject to taxation under this subchapter shall be taxed at the state property tax rate applicable to other property in the unorganized territory, which rate shall be applied to the assessed values so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§§5,6 (AMD). PL 1979, c. 666, §23 (AMD). PL 1987, c. 728, §5 (AMD). PL 1999, c. 731, §Y3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§1108. Assessment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Assessment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§1108. ASSESSMENT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