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Returns to State Tax Assessor</w:t>
      </w:r>
    </w:p>
    <w:p>
      <w:pPr>
        <w:jc w:val="both"/>
        <w:spacing w:before="100" w:after="100"/>
        <w:ind w:start="360"/>
        <w:ind w:firstLine="360"/>
      </w:pPr>
      <w:r>
        <w:rPr/>
      </w:r>
      <w:r>
        <w:rPr/>
      </w:r>
      <w:r>
        <w:t xml:space="preserve">On or before the first day of May in each year, every owner or person in charge or control of personal property  that on the first day of April  of that year is situated, whether permanently or temporarily, within  the unorganized  territory shall  return to the State Tax Assessor on a form to be furnished by the State Tax Assessor a complete list of such property  that would not be exempt from taxation if it were located in a municipality of this State and that is not otherwise subject to taxation under this Part.  That property  must be taxed at the rate established by the State Tax Assessor as provided in </w:t>
      </w:r>
      <w:r>
        <w:t>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§30 (AMD).]</w:t>
      </w:r>
    </w:p>
    <w:p>
      <w:pPr>
        <w:jc w:val="both"/>
        <w:spacing w:before="100" w:after="100"/>
        <w:ind w:start="360"/>
        <w:ind w:firstLine="360"/>
      </w:pPr>
      <w:r>
        <w:rPr/>
      </w:r>
      <w:r>
        <w:rPr/>
      </w:r>
      <w:r>
        <w:t xml:space="preserve">A person who knowingly makes a fraudulent return under this section commits a civil violation for which a  fine of not less than $100 nor more than $500 for each violation  must be adjudged.</w:t>
      </w:r>
      <w:r>
        <w:t xml:space="preserve">  </w:t>
      </w:r>
      <w:r xmlns:wp="http://schemas.openxmlformats.org/drawingml/2010/wordprocessingDrawing" xmlns:w15="http://schemas.microsoft.com/office/word/2012/wordml">
        <w:rPr>
          <w:rFonts w:ascii="Arial" w:hAnsi="Arial" w:cs="Arial"/>
          <w:sz w:val="22"/>
          <w:szCs w:val="22"/>
        </w:rPr>
        <w:t xml:space="preserve">[PL 2007, c. 627,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§252 (AMD). PL 1975, c. 272, §44 (AMD). PL 1977, c. 696, §270 (AMD). PL 1979, c. 666, §27 (AMD). PL 2007, c. 627,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§1231. Returns to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Returns to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§1231. RETURNS TO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