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§1283. Supervision, administration and sale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Supervision, administration and sale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§1283. SUPERVISION, ADMINISTRATION AND SALE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