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1488</w:t>
        <w:t xml:space="preserve">.  </w:t>
      </w:r>
      <w:r>
        <w:rPr>
          <w:b/>
        </w:rPr>
        <w:t xml:space="preserve">Receipts issued in duplicate</w:t>
      </w:r>
    </w:p>
    <w:p>
      <w:pPr>
        <w:jc w:val="both"/>
        <w:spacing w:before="100" w:after="100"/>
        <w:ind w:start="360"/>
        <w:ind w:firstLine="360"/>
      </w:pPr>
      <w:r>
        <w:rPr/>
      </w:r>
      <w:r>
        <w:rPr/>
      </w:r>
      <w:r>
        <w:t xml:space="preserve">Receipts for payment of the excise tax shall be in the form prescribed by the Secretary of State. They shall be issued in duplicate, and one copy shall be filed with the application at the time application is made for registration of the vehicle.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§1488. Receipts issued in duplicate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§1488. Receipts issued in duplicate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§1488. RECEIPTS ISSUED IN DUPLICATE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