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Timber and grass forfeited held for benefit of towns</w:t>
      </w:r>
    </w:p>
    <w:p>
      <w:pPr>
        <w:jc w:val="both"/>
        <w:spacing w:before="100" w:after="100"/>
        <w:ind w:start="360"/>
        <w:ind w:firstLine="360"/>
      </w:pPr>
      <w:r>
        <w:rPr/>
      </w:r>
      <w:r>
        <w:rPr/>
      </w:r>
      <w:r>
        <w:t xml:space="preserve">All timber and grass forfeited under </w:t>
      </w:r>
      <w:r>
        <w:t>section 1544</w:t>
      </w:r>
      <w:r>
        <w:t xml:space="preserve"> shall be held in trust by the State for the benefit of the people of Maine and shall be held by the Director of the Bureau of Parks and Lands subject to the same powers and responsibilities as apply to other lands in his custody.</w:t>
      </w:r>
      <w:r>
        <w:t xml:space="preserve">  </w:t>
      </w:r>
      <w:r xmlns:wp="http://schemas.openxmlformats.org/drawingml/2010/wordprocessingDrawing" xmlns:w15="http://schemas.microsoft.com/office/word/2012/wordml">
        <w:rPr>
          <w:rFonts w:ascii="Arial" w:hAnsi="Arial" w:cs="Arial"/>
          <w:sz w:val="22"/>
          <w:szCs w:val="22"/>
        </w:rPr>
        <w:t xml:space="preserve">[PL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§1545. Timber and grass forfeited held for benefit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Timber and grass forfeited held for benefit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§1545. TIMBER AND GRASS FORFEITED HELD FOR BENEFIT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