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growth limitation factor for the cost of the municipal cost components provided by a county may not exceed the municipal cost component assessment limit for that county.  For purposes of this section, a municipal cost component assessment limit must be determined by the State Tax Assessor annually for the unorganized territory in each county using the criteria provided under </w:t>
      </w:r>
      <w:r>
        <w:t>Title 30‑A, section 5721‑A</w:t>
      </w:r>
      <w:r>
        <w:t xml:space="preserve"> as if the unorganized territory for each county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§1611. LIMITATION ON MUNICIPAL COST COMPONENT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