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§175-A. Tax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§175-A. Tax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§175-A. TAX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