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§2512. Annual returns to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Annual returns to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§2512. ANNUAL RETURNS TO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