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 requirements</w:t>
      </w:r>
    </w:p>
    <w:p>
      <w:pPr>
        <w:jc w:val="both"/>
        <w:spacing w:before="100" w:after="100"/>
        <w:ind w:start="360"/>
        <w:ind w:firstLine="360"/>
      </w:pPr>
      <w:r>
        <w:rPr/>
      </w:r>
      <w:r>
        <w:rPr/>
      </w:r>
      <w:r>
        <w:t xml:space="preserve">The Treasurer of State in his warrant shall require the assessors of each municipality to make a fair list of their assessments, as required by this Title; to commit such list to the tax collector of such municipality in accordance with </w:t>
      </w:r>
      <w:r>
        <w:t>section 709</w:t>
      </w:r>
      <w:r>
        <w:t xml:space="preserve">; and to return a certificate thereof in accordance with </w:t>
      </w:r>
      <w:r>
        <w:t>section 712</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§253. --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§253. --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