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w:t>
        <w:t xml:space="preserve">.  </w:t>
      </w:r>
      <w:r>
        <w:rPr>
          <w:b/>
        </w:rPr>
        <w:t xml:space="preserve">Maine Life and Health Insurance Guaranty Association credit</w:t>
      </w:r>
    </w:p>
    <w:p>
      <w:pPr>
        <w:jc w:val="both"/>
        <w:spacing w:before="100" w:after="100"/>
        <w:ind w:start="360"/>
        <w:ind w:firstLine="360"/>
      </w:pPr>
      <w:r>
        <w:rPr/>
      </w:r>
      <w:r>
        <w:rPr/>
      </w:r>
      <w:r>
        <w:t xml:space="preserve">A taxpayer is allowed a credit against the tax otherwise due under this chapter as determined under </w:t>
      </w:r>
      <w:r>
        <w:t>Title 24‑A, section 4621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§15 (NEW).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§2530. Maine Life and Health Insurance Guaranty Association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 Maine Life and Health Insurance Guaranty Association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§2530. MAINE LIFE AND HEALTH INSURANCE GUARANTY ASSOCIATION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