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2534</w:t>
        <w:t xml:space="preserve">.  </w:t>
      </w:r>
      <w:r>
        <w:rPr>
          <w:b/>
        </w:rPr>
        <w:t xml:space="preserve">Credit for rehabilitation of historic properties and affordable housing</w:t>
      </w:r>
    </w:p>
    <w:p>
      <w:pPr>
        <w:jc w:val="both"/>
        <w:spacing w:before="100" w:after="100"/>
        <w:ind w:start="360"/>
        <w:ind w:firstLine="360"/>
      </w:pPr>
      <w:r>
        <w:rPr/>
      </w:r>
      <w:r>
        <w:rPr/>
      </w:r>
      <w:r>
        <w:t xml:space="preserve">A taxpayer is allowed credits against the tax otherwise due under this chapter as determined under </w:t>
      </w:r>
      <w:r>
        <w:t>sections 5219‑BB</w:t>
      </w:r>
      <w:r>
        <w:t xml:space="preserve"> and </w:t>
      </w:r>
      <w:r>
        <w:t>5219‑WW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§21 (NEW). PL 2011, c. 548, §36 (AFF). PL 2019, c. 555,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§2534. Credit for rehabilitation of historic properties and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§2534. Credit for rehabilitation of historic properties and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§2534. CREDIT FOR REHABILITATION OF HISTORIC PROPERTIES AND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